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50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Transport Safety Hazard Register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Record activities, assess operational risks and assign controls. Adapt to your operation and retain supporting evidence. Identify the task and people who influence it; assess foreseeable harm using an agreed risk method; select practical controls; assign an owner and deadline; verify effectiveness after implementation. Use the XLSX register for multiple hazards and calculated risk prioritisation.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English · CoR Australia branded · editable for your operation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Organisation: __________________________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Owner: __________________________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Review date: __________________________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Depot / business unit: __________________________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Activity and duty-holder scope: __________________________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Risk assessment method / matrix: __________________________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Consulted roles: __________________________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Register version / approval date: __________________________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Document version: __________________________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Prepared by / date: __________________________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Approved by / date: __________________________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Next review / change trigger: __________________________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33"/>
        <w:gridCol w:w="5233"/>
      </w:tblGrid>
      <w:tr>
        <w:trPr>
          <w:tblHeader/>
        </w:trPr>
        <w:tc>
          <w:p>
            <w:pPr>
              <w:spacing w:after="150"/>
            </w:pPr>
            <w:r>
              <w:rPr>
                <w:rFonts w:ascii="Calibri" w:cs="Calibri" w:eastAsia="Calibri" w:hAnsi="Calibri"/>
                <w:b/>
                <w:bCs/>
                <w:sz w:val="28"/>
                <w:szCs w:val="28"/>
              </w:rPr>
              <w:t xml:space="preserve">Control / verification prompt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/>
                <w:bCs/>
                <w:sz w:val="28"/>
                <w:szCs w:val="28"/>
              </w:rPr>
              <w:t xml:space="preserve">Status, evidence and action record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1. Activity / duty holder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2. Hazard and causes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3. Potential harm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4. Existing controls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5. Risk rating and method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6. Further action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7. Action owner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8. Due date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9. Evidence reference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10. Review outcome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11. Record the specific transport activity, location and operating conditions, including peak periods and foreseeable disruptions.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12. Identify executives and off-road parties able to influence scheduling, loading, contracts, facilities or vehicle condition.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13. Consider normal operations, changes, contractors, incidents and reasonably foreseeable abnormal conditions.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14. Assess speed pressure from delivery windows, incentives and penalties; check that realistic transit time and delays are allowed.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15. Assess fatigue exposure from work patterns, loading queues, secondary work and available rest arrangements.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16. Assess gross and axle mass, dimensions, restraint compatibility, loading sequence and route/access restrictions.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17. Assess vehicle defects, maintenance deferrals, inspection quality and release-to-service controls.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18. Record likelihood and consequence definitions and reasons for the initial risk assessment; avoid unsupported numerical ratings.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19. Consider elimination or redesign before relying only on procedures, training or individual behaviour.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20. Document residual risk after proposed controls and the authorised person who accepts or escalates it.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21. Verify controls with observations, work records and worker feedback; record who checked them and the result.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22. Reassess after a route, load, contract, equipment, work-pattern or legal-guidance change; escalate overdue actions.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</w:tbl>
    <w:p>
      <w:pPr>
        <w:spacing w:after="150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Working register — add rows as required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44"/>
        <w:gridCol w:w="1744"/>
        <w:gridCol w:w="1744"/>
        <w:gridCol w:w="1744"/>
        <w:gridCol w:w="1744"/>
        <w:gridCol w:w="1744"/>
      </w:tblGrid>
      <w:tr>
        <w:trPr>
          <w:tblHeader/>
        </w:trPr>
        <w:tc>
          <w:p>
            <w:pPr>
              <w:spacing w:after="150"/>
            </w:pPr>
            <w:r>
              <w:rPr>
                <w:rFonts w:ascii="Calibri" w:cs="Calibri" w:eastAsia="Calibri" w:hAnsi="Calibri"/>
                <w:b/>
                <w:bCs/>
                <w:sz w:val="28"/>
                <w:szCs w:val="28"/>
              </w:rPr>
              <w:t xml:space="preserve">Ref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/>
                <w:bCs/>
                <w:sz w:val="28"/>
                <w:szCs w:val="28"/>
              </w:rPr>
              <w:t xml:space="preserve">Hazard / defect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/>
                <w:bCs/>
                <w:sz w:val="28"/>
                <w:szCs w:val="28"/>
              </w:rPr>
              <w:t xml:space="preserve">Control / work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/>
                <w:bCs/>
                <w:sz w:val="28"/>
                <w:szCs w:val="28"/>
              </w:rPr>
              <w:t xml:space="preserve">Owner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/>
                <w:bCs/>
                <w:sz w:val="28"/>
                <w:szCs w:val="28"/>
              </w:rPr>
              <w:t xml:space="preserve">Due date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/>
                <w:bCs/>
                <w:sz w:val="28"/>
                <w:szCs w:val="28"/>
              </w:rPr>
              <w:t xml:space="preserve">Status / evidence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</w:tr>
    </w:tbl>
    <w:p>
      <w:pPr>
        <w:spacing w:after="150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Corrective-action close-out and review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Outstanding actions / interim controls: ______________________________________
Verification evidence / reviewer / date: ______________________________________
Approval / next review: ______________________________________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CoR Australia | 1300 886 092 | info@chainofresponsibility.au | www.chainofresponsibility.au
Independent 2026 NHVR Master Code implementation template. The NHVR Code is guidance on the existing HVNL Primary Duty; it creates no new legal obligations. Adapt and verify before use. Not an NHVR form, audit certificate or proof of compliance. Source: https://www.nhvr.gov.au/files/media/document/836/ricp-master-code-2026.pdf</w:t>
      </w:r>
    </w:p>
    <w:sectPr>
      <w:headerReference w:type="default" r:id="rId6"/>
      <w:footerReference w:type="default" r:id="rId7"/>
      <w:pgSz w:w="11906" w:h="16838" w:orient="portrait"/>
      <w:pgMar w:top="2160" w:right="720" w:bottom="1080" w:left="720" w:header="360" w:footer="36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sz w:val="14"/>
        <w:szCs w:val="14"/>
      </w:rPr>
      <w:t xml:space="preserve">CoR Australia | Independent NHVR Master Code implementation resource | Page </w:t>
    </w:r>
    <w:r>
      <w:rPr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</w:pPr>
    <w:r>
      <w:drawing>
        <wp:inline distT="0" distB="0" distL="0" distR="0">
          <wp:extent cx="1238250" cy="552450"/>
          <wp:effectExtent t="0" r="0" b="0" l="0"/>
          <wp:docPr id="10" name="CoR Australia" descr="CoR Australia company logo" title="CoR Austral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552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after="0"/>
    </w:pPr>
    <w:r>
      <w:rPr>
        <w:color w:val="334155"/>
        <w:sz w:val="16"/>
        <w:szCs w:val="16"/>
      </w:rPr>
      <w:t xml:space="preserve">1300 886 092 | info@chainofresponsibility.au | www.chainofresponsibility.au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781e99a04364642a7f7bcc16271c01712f145f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Transport Safety Hazard Register</dc:title>
  <dc:creator>CoR Australia</dc:creator>
  <cp:lastModifiedBy>Un-named</cp:lastModifiedBy>
  <cp:revision>1</cp:revision>
  <dcterms:created xsi:type="dcterms:W3CDTF">2026-10-14T23:28:07.771Z</dcterms:created>
  <dcterms:modified xsi:type="dcterms:W3CDTF">2026-10-14T23:28:07.771Z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